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b/>
          <w:bCs/>
          <w:color w:val="B23A2F"/>
          <w:sz w:val="18"/>
          <w:szCs w:val="18"/>
        </w:rPr>
        <w:t xml:space="preserve">REDBELLY DAO</w:t>
      </w:r>
    </w:p>
    <w:p>
      <w:pPr>
        <w:spacing w:after="60"/>
      </w:pPr>
      <w:r>
        <w:rPr>
          <w:b/>
          <w:bCs/>
          <w:color w:val="0F1B2D"/>
          <w:sz w:val="32"/>
          <w:szCs w:val="32"/>
        </w:rPr>
        <w:t xml:space="preserve">KYC and Wallet Activation Explainer</w:t>
      </w:r>
    </w:p>
    <w:p>
      <w:pPr>
        <w:pBdr>
          <w:bottom w:val="single" w:color="0F1B2D" w:sz="6" w:space="4"/>
        </w:pBdr>
        <w:spacing w:after="120"/>
      </w:pPr>
      <w:r>
        <w:rPr>
          <w:i/>
          <w:iCs/>
          <w:color w:val="444444"/>
          <w:sz w:val="18"/>
          <w:szCs w:val="18"/>
        </w:rPr>
        <w:t xml:space="preserve">Five recurring points of confusion, answered in plain language. Every claim is sourced or marked unconfirmed.</w:t>
      </w:r>
    </w:p>
    <w:p>
      <w:pPr>
        <w:spacing w:after="60" w:before="200"/>
      </w:pPr>
      <w:r>
        <w:rPr>
          <w:b/>
          <w:bCs/>
          <w:color w:val="0F1B2D"/>
          <w:sz w:val="24"/>
          <w:szCs w:val="24"/>
        </w:rPr>
        <w:t xml:space="preserve">1. When KYC is required</w:t>
      </w:r>
    </w:p>
    <w:p>
      <w:pPr>
        <w:spacing w:after="60"/>
      </w:pPr>
      <w:r>
        <w:rPr>
          <w:b/>
          <w:bCs/>
          <w:sz w:val="20"/>
          <w:szCs w:val="20"/>
        </w:rPr>
        <w:t xml:space="preserve">KYC is required for native RBNT and mainnet activity. It is not required to hold or trade wrapped RBNT on other chains.</w:t>
      </w:r>
    </w:p>
    <w:p>
      <w:pPr>
        <w:spacing w:after="60"/>
      </w:pPr>
      <w:r>
        <w:rPr>
          <w:sz w:val="20"/>
          <w:szCs w:val="20"/>
        </w:rPr>
        <w:t xml:space="preserve">Redbelly Network gates access to its own Layer 1 (mainnet transactions, staking, governance) behind identity verification through the Redbelly Access portal. Wrapped RBNT on Ethereum or other chains is a standard ERC-20 token with no Redbelly-side identity check, so buying, holding, or swapping it on an external DEX does not require Redbelly KYC.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Source: Redbelly Individual Onboarding SDK overview, docs.redbelly.network. Wrapped-token distinction inferred from wrapped RBNT operating as a standard ERC-20 outside Redbelly's identity layer.</w:t>
      </w:r>
    </w:p>
    <w:p>
      <w:pPr>
        <w:spacing w:after="60" w:before="200"/>
      </w:pPr>
      <w:r>
        <w:rPr>
          <w:b/>
          <w:bCs/>
          <w:color w:val="0F1B2D"/>
          <w:sz w:val="24"/>
          <w:szCs w:val="24"/>
        </w:rPr>
        <w:t xml:space="preserve">2. The ten-wallet-per-identity limit</w:t>
      </w:r>
    </w:p>
    <w:p>
      <w:pPr>
        <w:spacing w:after="60"/>
      </w:pPr>
      <w:r>
        <w:rPr>
          <w:b/>
          <w:bCs/>
          <w:sz w:val="20"/>
          <w:szCs w:val="20"/>
        </w:rPr>
        <w:t xml:space="preserve">One verified identity can activate up to 10 wallets. Beyond that limit, additional wallets cannot be linked to the same KYC record.</w:t>
      </w:r>
    </w:p>
    <w:p>
      <w:pPr>
        <w:spacing w:after="60"/>
      </w:pPr>
      <w:r>
        <w:rPr>
          <w:sz w:val="20"/>
          <w:szCs w:val="20"/>
        </w:rPr>
        <w:t xml:space="preserve">The limit applies per person, not per wallet, so completing KYC once covers up to 10 separate wallet addresses under that identity. A wallet requesting activation beyond the tenth is not accepted against an already-maxed identity.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Source: verified firsthand by the contributor, who registered 10 wallets under one identity, and confirmed by a Redbelly moderator in the Discord support channel.</w:t>
      </w:r>
      <w:r>
        <w:t xml:space="preserve">  </w:t>
      </w:r>
      <w:r>
        <w:rPr>
          <w:b/>
          <w:bCs/>
          <w:color w:val="B23A2F"/>
          <w:sz w:val="18"/>
          <w:szCs w:val="18"/>
        </w:rPr>
        <w:t xml:space="preserve">[MOD-VERIFIED, DISCORD — NO PUBLISHED DOC]</w:t>
      </w:r>
    </w:p>
    <w:p>
      <w:pPr>
        <w:spacing w:after="60" w:before="200"/>
      </w:pPr>
      <w:r>
        <w:rPr>
          <w:b/>
          <w:bCs/>
          <w:color w:val="0F1B2D"/>
          <w:sz w:val="24"/>
          <w:szCs w:val="24"/>
        </w:rPr>
        <w:t xml:space="preserve">3. Typical approval wait time</w:t>
      </w:r>
    </w:p>
    <w:p>
      <w:pPr>
        <w:spacing w:after="60"/>
      </w:pPr>
      <w:r>
        <w:rPr>
          <w:b/>
          <w:bCs/>
          <w:sz w:val="20"/>
          <w:szCs w:val="20"/>
        </w:rPr>
        <w:t xml:space="preserve">Most KYC submissions are approved in about 3 to 5 minutes.</w:t>
      </w:r>
    </w:p>
    <w:p>
      <w:pPr>
        <w:spacing w:after="60"/>
      </w:pPr>
      <w:r>
        <w:rPr>
          <w:sz w:val="20"/>
          <w:szCs w:val="20"/>
        </w:rPr>
        <w:t xml:space="preserve">This is the typical turnaround reported for a standard individual submission through the Redbelly Access portal. Submissions that need manual review, such as flagged documents or edge-case jurisdictions, can take longer than this range.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Source: verified firsthand by the contributor and confirmed by a Redbelly moderator in the Discord support channel.</w:t>
      </w:r>
      <w:r>
        <w:t xml:space="preserve">  </w:t>
      </w:r>
      <w:r>
        <w:rPr>
          <w:b/>
          <w:bCs/>
          <w:color w:val="B23A2F"/>
          <w:sz w:val="18"/>
          <w:szCs w:val="18"/>
        </w:rPr>
        <w:t xml:space="preserve">[MOD-VERIFIED, DISCORD — NO PUBLISHED DOC]</w:t>
      </w:r>
    </w:p>
    <w:p>
      <w:pPr>
        <w:spacing w:after="60" w:before="200"/>
      </w:pPr>
      <w:r>
        <w:rPr>
          <w:b/>
          <w:bCs/>
          <w:color w:val="0F1B2D"/>
          <w:sz w:val="24"/>
          <w:szCs w:val="24"/>
        </w:rPr>
        <w:t xml:space="preserve">4. Regional restrictions</w:t>
      </w:r>
    </w:p>
    <w:p>
      <w:pPr>
        <w:spacing w:after="60"/>
      </w:pPr>
      <w:r>
        <w:rPr>
          <w:b/>
          <w:bCs/>
          <w:sz w:val="20"/>
          <w:szCs w:val="20"/>
        </w:rPr>
        <w:t xml:space="preserve">Eighteen jurisdictions are currently restricted from accessing the Redbelly Network platform. This list has not been confirmed as reduced from a prior version.</w:t>
      </w:r>
    </w:p>
    <w:p>
      <w:pPr>
        <w:spacing w:after="60"/>
      </w:pPr>
      <w:r>
        <w:rPr>
          <w:sz w:val="20"/>
          <w:szCs w:val="20"/>
        </w:rPr>
        <w:t xml:space="preserve">Redbelly's own Terms and Conditions state the platform is not offered to residents or tax residents of: Afghanistan, Central African Republic, North Korea, Democratic Republic of the Congo, Guinea-Bissau, Iran, Iraq, Lebanon, Libya, Myanmar, Russia, Somalia, South Sudan, Sudan, Syria, Ukraine, Yemen, and Zimbabwe. Anyone outside this list can proceed with KYC and mainnet access; anyone inside it cannot, regardless of wallet or exchange used.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Source: Redbelly Network Terms and Conditions, Clause 15, redbelly.network/terms-and-conditions. Note: this document reflects currently restricted jurisdictions. No official record of a prior, larger restricted list was found, so the claim that restrictions have been reduced is not confirmed and is not repeated here as fact.</w:t>
      </w:r>
    </w:p>
    <w:p>
      <w:pPr>
        <w:spacing w:after="60" w:before="200"/>
      </w:pPr>
      <w:r>
        <w:rPr>
          <w:b/>
          <w:bCs/>
          <w:color w:val="0F1B2D"/>
          <w:sz w:val="24"/>
          <w:szCs w:val="24"/>
        </w:rPr>
        <w:t xml:space="preserve">5. KYC as a prerequisite for staking</w:t>
      </w:r>
    </w:p>
    <w:p>
      <w:pPr>
        <w:spacing w:after="60"/>
      </w:pPr>
      <w:r>
        <w:rPr>
          <w:b/>
          <w:bCs/>
          <w:sz w:val="20"/>
          <w:szCs w:val="20"/>
        </w:rPr>
        <w:t xml:space="preserve">Staking RBNT requires completed KYC, because staking is a mainnet action gated by the same identity layer as any other native transaction.</w:t>
      </w:r>
    </w:p>
    <w:p>
      <w:pPr>
        <w:spacing w:after="60"/>
      </w:pPr>
      <w:r>
        <w:rPr>
          <w:sz w:val="20"/>
          <w:szCs w:val="20"/>
        </w:rPr>
        <w:t xml:space="preserve">Redbelly's whitepaper lists staking as one of RBNT's core token uses, alongside gas, governance, sharding, and incentives, all of which run on Redbelly's own chain rather than a wrapped external token. Since mainnet access itself requires identity verification, a wallet cannot stake without first completing KYC.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Source: Redbelly Network whitepaper, redbelly.network/whitepaper. KYC-gating inferred from the same mainnet-access requirement covered in Section 1.</w:t>
      </w:r>
    </w:p>
    <w:p>
      <w:pPr>
        <w:pBdr>
          <w:top w:val="single" w:color="CCCCCC" w:sz="4" w:space="4"/>
        </w:pBdr>
        <w:spacing w:before="100"/>
      </w:pPr>
      <w:r>
        <w:rPr>
          <w:i/>
          <w:iCs/>
          <w:color w:val="666666"/>
          <w:sz w:val="16"/>
          <w:szCs w:val="16"/>
        </w:rPr>
        <w:t xml:space="preserve">Two claims above (ten-wallet limit, approval wait time) are verified firsthand by the contributor and confirmed by a Redbelly moderator in Discord, but have no published official document. They are marked accordingly per task requirements. All other claims are cited to an official Redbelly source.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2026-08-06T15:25:28.258Z</dcterms:created>
  <dcterms:modified xsi:type="dcterms:W3CDTF">2026-08-06T15:25:28.269Z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